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Дефектология как ресурс инклюзивного образования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формирование у слушателей профессиональных компетенций, необходимых для планирования содержания и организации дефектологического сопровождения людей с ограниченными возможностями здоровья в условиях инклюзивного образования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Требования к результатам освоения программы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основные профессиональные компетенции, которыми овладевают слушатели: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 современных подходах к изучению и классификации отклонений в развитии;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общие представления о разработке адаптированных программ для детей, подростков и взрослых с ограниченными возможностями здоровья;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об особенностях планирования и реализации образовательной (коррекционно-развивающей) работы в группах комбинированной и компенсирующей направленности и в классе общеобразовательной школы в соответствии с федеральными государственными образовательными стандартами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дошкольного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начального общего и основными образовательными программами;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овладевают знаниями о методах и приемах психолого-педагогического обследования лиц с нарушениями развития;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 разработке направлений и рациональном выборе методов и приемов дефектологической работы с детьми с различными нарушениями развития в соответствии со структурой дефекта;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 современных тенденциях развития дефектологии, актуальных нормативно-правовых документах на территории РФ.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 уровню подготовки поступающего на обучение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обучению по Программе допускаются лица, имеющие 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профессиональной деятельности (с последующей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профессиональной переподготовкой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профилю педагогической деятельности), либо высшее профессиональное образование или среднее профессиональное образование, или дополнительное профессиональное образование по направлению деятельности в образовательной организации.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программа рекомендована специалистам, работающим с детьми с ограниченными возможностями здоровья: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воспитателям;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педагогам дополнительного образования;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психологам;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дефектологам;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логопедам;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сурдопедагогам;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тифлопедагогам;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олигофренопедагогам;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учителям-предметникам;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учителям начальных классов;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методистам (старшим воспитателям) ДОО;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администраторам образовательных организаций;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специалистам соцзащиты, здравоохранения.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программы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план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Форма обучения: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дистанционно без отрыва от основного места работы.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Общая трудоемкость: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520 часов (14,5 зачетных единиц).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Срок обучения (рекомендованный):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6=8 месяцев (шестидневная рабочая неделя).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Режим самостоятельных занятий (рекомендованный):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4-6 часов в день.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Формы контроля.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результатов обучения осуществляется в ходе промежуточного контроля и итоговой аттестации.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Промежуточный контроль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осуществляется в форме анализа учебных текстов, выполнения заданий для самопроверки по итогам изучения каждого модуля и темы в нём (задания четко определены преподавателем и представлены в конце лекционного материала каждой темы модуля). После выполнения каждого задания по теме ставится зачёт. Все зачёты в совокупности служат основанием для оценки на экзамене по модулю.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Форма итоговой аттестации: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написание выпускной аттестационной работы по одной из предложенных тем или самостоятельно выбранной слушателем и соответствующей тематике Программы.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Дефектология как ресурс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инклюзивного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структурировано по видам учебных занятий с распределением объёмов учебной нагрузки.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Тематическое планирование содержания (модулей)</w:t>
      </w:r>
    </w:p>
    <w:tbl>
      <w:tblPr/>
      <w:tblGrid>
        <w:gridCol w:w="574"/>
        <w:gridCol w:w="3188"/>
        <w:gridCol w:w="667"/>
        <w:gridCol w:w="1575"/>
        <w:gridCol w:w="1813"/>
        <w:gridCol w:w="1658"/>
      </w:tblGrid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модулей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лекционного и методического материала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 (выполнение практических заданий)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(виды отчета)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Медико-биологические основы дефектологии (Е.В. Маркова)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36: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нейрофизиологии и высшей нервной деятельности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1.2.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невропатологии и ВНД детского возраста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Анатомия, физиология и патологии органов слуха, зрения и речи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Дефектология как наука. Теоретические аспекты. (О.Ю.Пискун)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36: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2.1.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Гуманистическая сущность дефектологии как отрасли педагогической науки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Принципы организации специальных (коррекционных) образовательных учреждений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Современное состояние дефектологии и ее основные проблемы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организации инклюзивного обучения в образовательных организациях (О.Ю.Пискун)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36: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Зарубежный и отечественный опыт инклюзивного образования: проблемы и перспективы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3.2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условий для инклюзивной практики в общеобразовательных учреждениях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3.3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Подходы к составлению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индивидуальных адаптированных программ для детей с ОВЗ, посещающих инклюзивное образовательное учреждение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и воспитание детей с нарушениями слуха (О.Ю.Пискун)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36: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Медико-психолого-педагогические подходы к изучению детей с нарушениями слуха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Ресурсные возможности сурдопедагогики в современных образовательных условиях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4.3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глухих и слабослышащих детей в условиях инклюзивного образования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и воспитание детей с нарушениями зрения (Н.А.Одинокова)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126: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Медико-психолого-педагогические подходы к изучению детей с нарушениями зрения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5.2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Ресурсные возможности тифлопедагогики в современных образовательных условиях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5.3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слепых и слабовидящих детей в условиях инклюзивного образования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5.4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Установление медико-психолого-педагогического статуса ребенка с нарушением зрения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5.5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предметно-пространственной коррекционно-развивающей среды для воспитания, обучения и эффективного развития детей дошкольного возраста с нарушением зрения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5.6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Профилактика и предупреждение нарушений зрения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5.7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Слепые и слабовидящие дети с множественными нарушениями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5.8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направления педагогической помощи слепым и слабовидящим детям с комплексными нарушениями в развитии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5.9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родителями детей со зрительной депривацией, имеющих комплексные нарушения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и воспитание детей с нарушениями речи (Н.А.Кузь)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54: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8.1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Медико-психолого-педагогические подходы к изучению детей с нарушениями речи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8.2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Ресурсные возможности логопедии в современных образовательных условиях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8.3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детей с речевыми нарушениями в условиях инклюзивного образования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и воспитание детей с интеллектуальной недостаточностью (Н.А.Кузь)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36: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9.1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Медико-психолого-педагогические подходы к изучению детей с нарушениями интеллекта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9.2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Ресурсные возможности олигофренопедагогики в современных образовательных условиях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9.3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детей с умственными нарушениями в условиях инклюзивного образования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и воспитание детей с задержкой психического развития (Н.А.Кузь)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36: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10.1.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Медико-психолого-педагогические подходы к изучению детей с задержкой психического развития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10.2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Ресурсные возможности практики воспитания и обучения детей с ЗПР в современных образовательных условиях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10.3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детей с задержкой психического развития в условиях инклюзивного образования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и воспитание детей с нарушениями опорно-двигательного аппарата (О.Ю.Пискун)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36: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11.1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Медико-психолого-педагогические подходы к изучению детей с нарушениями опорно-двигательного аппарата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11.2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Ресурсные возможности практики воспитания и обучения детей 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нарушениями опорно-двигательного аппарата в современных образовательных условиях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11.3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детей 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нарушениями опорно-двигательного аппарата поведения в условиях инклюзивного образования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и воспитание детей с расстройствами эмоционально-волевой сферы и нарушениями поведения (О.Ю.Пискун)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36: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12.1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Медико-психолого-педагогические подходы к изучению детей с расстройствами эмоционально-волевой сферы и нарушениями поведения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12.2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Ресурсные возможности практики воспитания и обучения детей 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расстройствами эмоционально-волевой сферы и нарушениями поведения в современных образовательных условиях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12.3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детей 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расстройствами эмоционально-волевой сферы и нарушениями поведения в условиях инклюзивного образования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и воспитание детей с комплексными нарушениями в развитии (О.Ю.Пискун)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36: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13.1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с множественными нарушениями в развитии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13.2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направления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психолого-педагогической помощи детям с комплексными нарушениями в развитии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итоговой аттестационной работы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Выпускная аттестационная работа (ВКР)</w:t>
            </w:r>
          </w:p>
        </w:tc>
      </w:tr>
      <w:tr>
        <w:trPr>
          <w:trHeight w:val="1" w:hRule="atLeast"/>
          <w:jc w:val="left"/>
        </w:trPr>
        <w:tc>
          <w:tcPr>
            <w:tcW w:w="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520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344</w:t>
            </w:r>
          </w:p>
        </w:tc>
        <w:tc>
          <w:tcPr>
            <w:tcW w:w="18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176</w:t>
            </w:r>
          </w:p>
        </w:tc>
        <w:tc>
          <w:tcPr>
            <w:tcW w:w="16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Методическое обеспечение Программы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обеспечена развернутыми конспектами лекций с указанием первоисточников информации. Для слушателей, желающих получить больший объем информации, предусмотрены электронная библиотекаи ссылки на дополнительную литературу (научную и методическую), которая представлена в открытом доступе в сети Интернет, а так же список рекомендованной дополнительной литературы для продолжения работы в качестве самообразования.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диплом установленного образца.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 520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5912473-professionalnaya-perepodgotovka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3032377-doshkolnoe-obrazovanie" Id="docRId2" Type="http://schemas.openxmlformats.org/officeDocument/2006/relationships/hyperlink"/><Relationship TargetMode="External" Target="http://sispp.tiu.ru/g5491186-inklyuzivnoe-obrazovanie" Id="docRId4" Type="http://schemas.openxmlformats.org/officeDocument/2006/relationships/hyperlink"/><Relationship Target="styles.xml" Id="docRId6" Type="http://schemas.openxmlformats.org/officeDocument/2006/relationships/styles"/></Relationships>
</file>